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C9F50" w14:textId="77777777" w:rsidR="00E40195" w:rsidRDefault="00000000">
      <w:pPr>
        <w:spacing w:after="40"/>
        <w:jc w:val="center"/>
      </w:pPr>
      <w:r>
        <w:rPr>
          <w:b/>
          <w:color w:val="082033"/>
          <w:sz w:val="32"/>
          <w:szCs w:val="32"/>
        </w:rPr>
        <w:t>ICS 202 - Incident Objectives</w:t>
      </w:r>
    </w:p>
    <w:p w14:paraId="70C891F5" w14:textId="77777777" w:rsidR="00E40195" w:rsidRDefault="00000000">
      <w:pPr>
        <w:spacing w:after="40"/>
        <w:jc w:val="center"/>
      </w:pPr>
      <w:r>
        <w:rPr>
          <w:b/>
          <w:color w:val="0A4B6A"/>
          <w:sz w:val="26"/>
          <w:szCs w:val="26"/>
        </w:rPr>
        <w:t>Operation Ocean Mist 26 COMMEX</w:t>
      </w:r>
    </w:p>
    <w:p w14:paraId="5994524C" w14:textId="77777777" w:rsidR="00E40195" w:rsidRDefault="00000000">
      <w:pPr>
        <w:spacing w:after="130"/>
        <w:jc w:val="center"/>
      </w:pPr>
      <w:r>
        <w:rPr>
          <w:sz w:val="20"/>
          <w:szCs w:val="20"/>
        </w:rPr>
        <w:t>Outer Banks Repeater Association / Dare County AUXCOMM Exercise</w:t>
      </w:r>
    </w:p>
    <w:tbl>
      <w:tblPr>
        <w:tblW w:w="9360" w:type="dxa"/>
        <w:tblInd w:w="90"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90" w:type="dxa"/>
          <w:left w:w="90" w:type="dxa"/>
          <w:bottom w:w="90" w:type="dxa"/>
          <w:right w:w="90" w:type="dxa"/>
        </w:tblCellMar>
        <w:tblLook w:val="0000" w:firstRow="0" w:lastRow="0" w:firstColumn="0" w:lastColumn="0" w:noHBand="0" w:noVBand="0"/>
      </w:tblPr>
      <w:tblGrid>
        <w:gridCol w:w="2300"/>
        <w:gridCol w:w="7060"/>
      </w:tblGrid>
      <w:tr w:rsidR="00E40195" w14:paraId="03CCB82E" w14:textId="77777777">
        <w:trPr>
          <w:tblHeader/>
        </w:trPr>
        <w:tc>
          <w:tcPr>
            <w:tcW w:w="2300" w:type="dxa"/>
            <w:shd w:val="clear" w:color="auto" w:fill="EAF4F7"/>
          </w:tcPr>
          <w:p w14:paraId="2A2615D6" w14:textId="77777777" w:rsidR="00E40195" w:rsidRDefault="00000000">
            <w:pPr>
              <w:spacing w:after="20"/>
            </w:pPr>
            <w:r>
              <w:rPr>
                <w:b/>
                <w:sz w:val="17"/>
                <w:szCs w:val="17"/>
              </w:rPr>
              <w:t>ICS 202 Field</w:t>
            </w:r>
          </w:p>
        </w:tc>
        <w:tc>
          <w:tcPr>
            <w:tcW w:w="7060" w:type="dxa"/>
            <w:shd w:val="clear" w:color="auto" w:fill="EAF4F7"/>
          </w:tcPr>
          <w:p w14:paraId="12207F9F" w14:textId="77777777" w:rsidR="00E40195" w:rsidRDefault="00000000">
            <w:pPr>
              <w:spacing w:after="20"/>
            </w:pPr>
            <w:r>
              <w:rPr>
                <w:b/>
                <w:sz w:val="17"/>
                <w:szCs w:val="17"/>
              </w:rPr>
              <w:t>Populated Entry</w:t>
            </w:r>
          </w:p>
        </w:tc>
      </w:tr>
      <w:tr w:rsidR="00E40195" w14:paraId="5FE57C81" w14:textId="77777777">
        <w:tc>
          <w:tcPr>
            <w:tcW w:w="2300" w:type="dxa"/>
          </w:tcPr>
          <w:p w14:paraId="5FC25FC7" w14:textId="77777777" w:rsidR="00E40195" w:rsidRDefault="00000000">
            <w:pPr>
              <w:spacing w:after="20"/>
            </w:pPr>
            <w:r>
              <w:rPr>
                <w:sz w:val="17"/>
                <w:szCs w:val="17"/>
              </w:rPr>
              <w:t>1. Incident Name</w:t>
            </w:r>
          </w:p>
        </w:tc>
        <w:tc>
          <w:tcPr>
            <w:tcW w:w="7060" w:type="dxa"/>
          </w:tcPr>
          <w:p w14:paraId="3EE12F6F" w14:textId="77777777" w:rsidR="00E40195" w:rsidRDefault="00000000">
            <w:pPr>
              <w:spacing w:after="20"/>
            </w:pPr>
            <w:r>
              <w:rPr>
                <w:sz w:val="17"/>
                <w:szCs w:val="17"/>
              </w:rPr>
              <w:t>Operation Ocean Mist 26 COMMEX</w:t>
            </w:r>
          </w:p>
        </w:tc>
      </w:tr>
      <w:tr w:rsidR="00E40195" w14:paraId="4FE5D4EF" w14:textId="77777777">
        <w:tc>
          <w:tcPr>
            <w:tcW w:w="2300" w:type="dxa"/>
          </w:tcPr>
          <w:p w14:paraId="01E65023" w14:textId="77777777" w:rsidR="00E40195" w:rsidRDefault="00000000">
            <w:pPr>
              <w:spacing w:after="20"/>
            </w:pPr>
            <w:r>
              <w:rPr>
                <w:sz w:val="17"/>
                <w:szCs w:val="17"/>
              </w:rPr>
              <w:t>2. Operational Period</w:t>
            </w:r>
          </w:p>
        </w:tc>
        <w:tc>
          <w:tcPr>
            <w:tcW w:w="7060" w:type="dxa"/>
          </w:tcPr>
          <w:p w14:paraId="7B9CF812" w14:textId="16B561CB" w:rsidR="00E40195" w:rsidRDefault="00000000">
            <w:pPr>
              <w:spacing w:after="20"/>
            </w:pPr>
            <w:r>
              <w:rPr>
                <w:sz w:val="17"/>
                <w:szCs w:val="17"/>
              </w:rPr>
              <w:t xml:space="preserve">June </w:t>
            </w:r>
            <w:r w:rsidR="006D4F97">
              <w:rPr>
                <w:sz w:val="17"/>
                <w:szCs w:val="17"/>
              </w:rPr>
              <w:t xml:space="preserve">20, </w:t>
            </w:r>
            <w:r>
              <w:rPr>
                <w:sz w:val="17"/>
                <w:szCs w:val="17"/>
              </w:rPr>
              <w:t>2026, 0930-1330 EDT / 1330-1730 UTC</w:t>
            </w:r>
          </w:p>
        </w:tc>
      </w:tr>
      <w:tr w:rsidR="00E40195" w14:paraId="6DA43952" w14:textId="77777777">
        <w:tc>
          <w:tcPr>
            <w:tcW w:w="2300" w:type="dxa"/>
          </w:tcPr>
          <w:p w14:paraId="3F26B21C" w14:textId="77777777" w:rsidR="00E40195" w:rsidRDefault="00000000">
            <w:pPr>
              <w:spacing w:after="20"/>
            </w:pPr>
            <w:r>
              <w:rPr>
                <w:sz w:val="17"/>
                <w:szCs w:val="17"/>
              </w:rPr>
              <w:t>3. Incident Number</w:t>
            </w:r>
          </w:p>
        </w:tc>
        <w:tc>
          <w:tcPr>
            <w:tcW w:w="7060" w:type="dxa"/>
          </w:tcPr>
          <w:p w14:paraId="4A8BBB7B" w14:textId="77777777" w:rsidR="00E40195" w:rsidRDefault="00000000">
            <w:pPr>
              <w:spacing w:after="20"/>
            </w:pPr>
            <w:r>
              <w:rPr>
                <w:sz w:val="17"/>
                <w:szCs w:val="17"/>
              </w:rPr>
              <w:t>EX-OM26-001</w:t>
            </w:r>
          </w:p>
        </w:tc>
      </w:tr>
      <w:tr w:rsidR="00E40195" w14:paraId="205C8616" w14:textId="77777777">
        <w:tc>
          <w:tcPr>
            <w:tcW w:w="2300" w:type="dxa"/>
          </w:tcPr>
          <w:p w14:paraId="5037DE3F" w14:textId="77777777" w:rsidR="00E40195" w:rsidRDefault="00000000">
            <w:pPr>
              <w:spacing w:after="20"/>
            </w:pPr>
            <w:r>
              <w:rPr>
                <w:sz w:val="17"/>
                <w:szCs w:val="17"/>
              </w:rPr>
              <w:t>4. Date Prepared</w:t>
            </w:r>
          </w:p>
        </w:tc>
        <w:tc>
          <w:tcPr>
            <w:tcW w:w="7060" w:type="dxa"/>
          </w:tcPr>
          <w:p w14:paraId="0A560077" w14:textId="06ECF6E8" w:rsidR="00E40195" w:rsidRDefault="00000000">
            <w:pPr>
              <w:spacing w:after="20"/>
            </w:pPr>
            <w:r>
              <w:rPr>
                <w:sz w:val="17"/>
                <w:szCs w:val="17"/>
              </w:rPr>
              <w:t>June</w:t>
            </w:r>
            <w:r w:rsidR="006D4F97">
              <w:rPr>
                <w:sz w:val="17"/>
                <w:szCs w:val="17"/>
              </w:rPr>
              <w:t xml:space="preserve"> 1,</w:t>
            </w:r>
            <w:r>
              <w:rPr>
                <w:sz w:val="17"/>
                <w:szCs w:val="17"/>
              </w:rPr>
              <w:t xml:space="preserve"> 2026</w:t>
            </w:r>
          </w:p>
        </w:tc>
      </w:tr>
      <w:tr w:rsidR="00E40195" w14:paraId="78895809" w14:textId="77777777">
        <w:tc>
          <w:tcPr>
            <w:tcW w:w="2300" w:type="dxa"/>
          </w:tcPr>
          <w:p w14:paraId="1890BDF4" w14:textId="77777777" w:rsidR="00E40195" w:rsidRDefault="00000000">
            <w:pPr>
              <w:spacing w:after="20"/>
            </w:pPr>
            <w:r>
              <w:rPr>
                <w:sz w:val="17"/>
                <w:szCs w:val="17"/>
              </w:rPr>
              <w:t>5. Time Prepared</w:t>
            </w:r>
          </w:p>
        </w:tc>
        <w:tc>
          <w:tcPr>
            <w:tcW w:w="7060" w:type="dxa"/>
          </w:tcPr>
          <w:p w14:paraId="03D409D1" w14:textId="77777777" w:rsidR="00E40195" w:rsidRDefault="00000000">
            <w:pPr>
              <w:spacing w:after="20"/>
            </w:pPr>
            <w:r>
              <w:rPr>
                <w:sz w:val="17"/>
                <w:szCs w:val="17"/>
              </w:rPr>
              <w:t>Prior to exercise start / controller-player briefing</w:t>
            </w:r>
          </w:p>
        </w:tc>
      </w:tr>
      <w:tr w:rsidR="00E40195" w14:paraId="72222C83" w14:textId="77777777">
        <w:tc>
          <w:tcPr>
            <w:tcW w:w="2300" w:type="dxa"/>
          </w:tcPr>
          <w:p w14:paraId="48034B8D" w14:textId="77777777" w:rsidR="00E40195" w:rsidRDefault="00000000">
            <w:pPr>
              <w:spacing w:after="20"/>
            </w:pPr>
            <w:r>
              <w:rPr>
                <w:sz w:val="17"/>
                <w:szCs w:val="17"/>
              </w:rPr>
              <w:t>6. Prepared By</w:t>
            </w:r>
          </w:p>
        </w:tc>
        <w:tc>
          <w:tcPr>
            <w:tcW w:w="7060" w:type="dxa"/>
          </w:tcPr>
          <w:p w14:paraId="41764AD9" w14:textId="77777777" w:rsidR="00E40195" w:rsidRDefault="00000000">
            <w:pPr>
              <w:spacing w:after="20"/>
            </w:pPr>
            <w:r>
              <w:rPr>
                <w:sz w:val="17"/>
                <w:szCs w:val="17"/>
              </w:rPr>
              <w:t>Malcolm Green, KY4RY - Dare County AUXCOMM Coordinator / OBRA Exercise Lead</w:t>
            </w:r>
          </w:p>
        </w:tc>
      </w:tr>
    </w:tbl>
    <w:p w14:paraId="24129AF2" w14:textId="77777777" w:rsidR="00E40195" w:rsidRDefault="00E40195">
      <w:pPr>
        <w:spacing w:after="120"/>
      </w:pPr>
    </w:p>
    <w:p w14:paraId="78CF0B67" w14:textId="77777777" w:rsidR="00E40195" w:rsidRDefault="00000000">
      <w:pPr>
        <w:pStyle w:val="Heading1"/>
        <w:spacing w:before="140" w:after="80"/>
      </w:pPr>
      <w:r>
        <w:rPr>
          <w:szCs w:val="27"/>
        </w:rPr>
        <w:t>7. Incident Objectives</w:t>
      </w:r>
    </w:p>
    <w:tbl>
      <w:tblPr>
        <w:tblW w:w="9360" w:type="dxa"/>
        <w:tblInd w:w="90"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90" w:type="dxa"/>
          <w:left w:w="90" w:type="dxa"/>
          <w:bottom w:w="90" w:type="dxa"/>
          <w:right w:w="90" w:type="dxa"/>
        </w:tblCellMar>
        <w:tblLook w:val="0000" w:firstRow="0" w:lastRow="0" w:firstColumn="0" w:lastColumn="0" w:noHBand="0" w:noVBand="0"/>
      </w:tblPr>
      <w:tblGrid>
        <w:gridCol w:w="650"/>
        <w:gridCol w:w="4050"/>
        <w:gridCol w:w="4660"/>
      </w:tblGrid>
      <w:tr w:rsidR="00E40195" w14:paraId="00E606DE" w14:textId="77777777">
        <w:trPr>
          <w:tblHeader/>
        </w:trPr>
        <w:tc>
          <w:tcPr>
            <w:tcW w:w="650" w:type="dxa"/>
            <w:shd w:val="clear" w:color="auto" w:fill="EAF4F7"/>
          </w:tcPr>
          <w:p w14:paraId="39F57849" w14:textId="77777777" w:rsidR="00E40195" w:rsidRDefault="00000000">
            <w:pPr>
              <w:spacing w:after="20"/>
            </w:pPr>
            <w:r>
              <w:rPr>
                <w:b/>
                <w:sz w:val="15"/>
                <w:szCs w:val="15"/>
              </w:rPr>
              <w:t>No.</w:t>
            </w:r>
          </w:p>
        </w:tc>
        <w:tc>
          <w:tcPr>
            <w:tcW w:w="4050" w:type="dxa"/>
            <w:shd w:val="clear" w:color="auto" w:fill="EAF4F7"/>
          </w:tcPr>
          <w:p w14:paraId="19146AC1" w14:textId="77777777" w:rsidR="00E40195" w:rsidRDefault="00000000">
            <w:pPr>
              <w:spacing w:after="20"/>
            </w:pPr>
            <w:r>
              <w:rPr>
                <w:b/>
                <w:sz w:val="15"/>
                <w:szCs w:val="15"/>
              </w:rPr>
              <w:t>Objective</w:t>
            </w:r>
          </w:p>
        </w:tc>
        <w:tc>
          <w:tcPr>
            <w:tcW w:w="4660" w:type="dxa"/>
            <w:shd w:val="clear" w:color="auto" w:fill="EAF4F7"/>
          </w:tcPr>
          <w:p w14:paraId="3F50269C" w14:textId="77777777" w:rsidR="00E40195" w:rsidRDefault="00000000">
            <w:pPr>
              <w:spacing w:after="20"/>
            </w:pPr>
            <w:r>
              <w:rPr>
                <w:b/>
                <w:sz w:val="15"/>
                <w:szCs w:val="15"/>
              </w:rPr>
              <w:t>Expected Standard / Measure</w:t>
            </w:r>
          </w:p>
        </w:tc>
      </w:tr>
      <w:tr w:rsidR="00E40195" w14:paraId="7354B0B6" w14:textId="77777777">
        <w:tc>
          <w:tcPr>
            <w:tcW w:w="650" w:type="dxa"/>
          </w:tcPr>
          <w:p w14:paraId="13A21E1C" w14:textId="77777777" w:rsidR="00E40195" w:rsidRDefault="00000000">
            <w:pPr>
              <w:spacing w:after="20"/>
            </w:pPr>
            <w:r>
              <w:rPr>
                <w:sz w:val="15"/>
                <w:szCs w:val="15"/>
              </w:rPr>
              <w:t>1</w:t>
            </w:r>
          </w:p>
        </w:tc>
        <w:tc>
          <w:tcPr>
            <w:tcW w:w="4050" w:type="dxa"/>
          </w:tcPr>
          <w:p w14:paraId="4D69D923" w14:textId="77777777" w:rsidR="00E40195" w:rsidRDefault="00000000">
            <w:pPr>
              <w:spacing w:after="20"/>
            </w:pPr>
            <w:r>
              <w:rPr>
                <w:sz w:val="15"/>
                <w:szCs w:val="15"/>
              </w:rPr>
              <w:t>Activate OBRA AUXCOMM callout and establish a directed Command Net.</w:t>
            </w:r>
          </w:p>
        </w:tc>
        <w:tc>
          <w:tcPr>
            <w:tcW w:w="4660" w:type="dxa"/>
          </w:tcPr>
          <w:p w14:paraId="70BBE532" w14:textId="77777777" w:rsidR="00E40195" w:rsidRDefault="00000000">
            <w:pPr>
              <w:spacing w:after="20"/>
            </w:pPr>
            <w:r>
              <w:rPr>
                <w:sz w:val="15"/>
                <w:szCs w:val="15"/>
              </w:rPr>
              <w:t>Callout initiated by KY4RY, KW4ZL, and N4ACT; Command Net open within 20 minutes of activation notice.</w:t>
            </w:r>
          </w:p>
        </w:tc>
      </w:tr>
      <w:tr w:rsidR="00E40195" w14:paraId="2EA82B2D" w14:textId="77777777">
        <w:tc>
          <w:tcPr>
            <w:tcW w:w="650" w:type="dxa"/>
          </w:tcPr>
          <w:p w14:paraId="130C3892" w14:textId="77777777" w:rsidR="00E40195" w:rsidRDefault="00000000">
            <w:pPr>
              <w:spacing w:after="20"/>
            </w:pPr>
            <w:r>
              <w:rPr>
                <w:sz w:val="15"/>
                <w:szCs w:val="15"/>
              </w:rPr>
              <w:t>2</w:t>
            </w:r>
          </w:p>
        </w:tc>
        <w:tc>
          <w:tcPr>
            <w:tcW w:w="4050" w:type="dxa"/>
          </w:tcPr>
          <w:p w14:paraId="56E2F5A8" w14:textId="77777777" w:rsidR="00E40195" w:rsidRDefault="00000000">
            <w:pPr>
              <w:spacing w:after="20"/>
            </w:pPr>
            <w:r>
              <w:rPr>
                <w:sz w:val="15"/>
                <w:szCs w:val="15"/>
              </w:rPr>
              <w:t>Establish and operate multiple directed voice nets.</w:t>
            </w:r>
          </w:p>
        </w:tc>
        <w:tc>
          <w:tcPr>
            <w:tcW w:w="4660" w:type="dxa"/>
          </w:tcPr>
          <w:p w14:paraId="5BF705D9" w14:textId="77777777" w:rsidR="00E40195" w:rsidRDefault="00000000">
            <w:pPr>
              <w:spacing w:after="20"/>
            </w:pPr>
            <w:r>
              <w:rPr>
                <w:sz w:val="15"/>
                <w:szCs w:val="15"/>
              </w:rPr>
              <w:t>Command, Tactical, and Shelter/Welfare/Logistics nets established with assigned Net Control Stations and logs.</w:t>
            </w:r>
          </w:p>
        </w:tc>
      </w:tr>
      <w:tr w:rsidR="00E40195" w14:paraId="409EF3FB" w14:textId="77777777">
        <w:tc>
          <w:tcPr>
            <w:tcW w:w="650" w:type="dxa"/>
          </w:tcPr>
          <w:p w14:paraId="048D32EB" w14:textId="77777777" w:rsidR="00E40195" w:rsidRDefault="00000000">
            <w:pPr>
              <w:spacing w:after="20"/>
            </w:pPr>
            <w:r>
              <w:rPr>
                <w:sz w:val="15"/>
                <w:szCs w:val="15"/>
              </w:rPr>
              <w:t>3</w:t>
            </w:r>
          </w:p>
        </w:tc>
        <w:tc>
          <w:tcPr>
            <w:tcW w:w="4050" w:type="dxa"/>
          </w:tcPr>
          <w:p w14:paraId="37E7257B" w14:textId="77777777" w:rsidR="00E40195" w:rsidRDefault="00000000">
            <w:pPr>
              <w:spacing w:after="20"/>
            </w:pPr>
            <w:r>
              <w:rPr>
                <w:sz w:val="15"/>
                <w:szCs w:val="15"/>
              </w:rPr>
              <w:t>Validate PACE communications procedures under system degradation.</w:t>
            </w:r>
          </w:p>
        </w:tc>
        <w:tc>
          <w:tcPr>
            <w:tcW w:w="4660" w:type="dxa"/>
          </w:tcPr>
          <w:p w14:paraId="3995BDCB" w14:textId="77777777" w:rsidR="00E40195" w:rsidRDefault="00000000">
            <w:pPr>
              <w:spacing w:after="20"/>
            </w:pPr>
            <w:r>
              <w:rPr>
                <w:sz w:val="15"/>
                <w:szCs w:val="15"/>
              </w:rPr>
              <w:t>Operators transition from primary repeater to alternate, simplex, Winlink, or voice fallback within 10 minutes of controller inject.</w:t>
            </w:r>
          </w:p>
        </w:tc>
      </w:tr>
      <w:tr w:rsidR="00E40195" w14:paraId="5F1003BA" w14:textId="77777777">
        <w:tc>
          <w:tcPr>
            <w:tcW w:w="650" w:type="dxa"/>
          </w:tcPr>
          <w:p w14:paraId="2D02B8DB" w14:textId="77777777" w:rsidR="00E40195" w:rsidRDefault="00000000">
            <w:pPr>
              <w:spacing w:after="20"/>
            </w:pPr>
            <w:r>
              <w:rPr>
                <w:sz w:val="15"/>
                <w:szCs w:val="15"/>
              </w:rPr>
              <w:t>4</w:t>
            </w:r>
          </w:p>
        </w:tc>
        <w:tc>
          <w:tcPr>
            <w:tcW w:w="4050" w:type="dxa"/>
          </w:tcPr>
          <w:p w14:paraId="5C7A66C6" w14:textId="77777777" w:rsidR="00E40195" w:rsidRDefault="00000000">
            <w:pPr>
              <w:spacing w:after="20"/>
            </w:pPr>
            <w:r>
              <w:rPr>
                <w:sz w:val="15"/>
                <w:szCs w:val="15"/>
              </w:rPr>
              <w:t>Test response to simulated commercial and amateur system failures.</w:t>
            </w:r>
          </w:p>
        </w:tc>
        <w:tc>
          <w:tcPr>
            <w:tcW w:w="4660" w:type="dxa"/>
          </w:tcPr>
          <w:p w14:paraId="5EC5A321" w14:textId="77777777" w:rsidR="00E40195" w:rsidRDefault="00000000">
            <w:pPr>
              <w:spacing w:after="20"/>
            </w:pPr>
            <w:r>
              <w:rPr>
                <w:sz w:val="15"/>
                <w:szCs w:val="15"/>
              </w:rPr>
              <w:t xml:space="preserve">Cellular/SMS degradation, </w:t>
            </w:r>
            <w:proofErr w:type="spellStart"/>
            <w:r>
              <w:rPr>
                <w:sz w:val="15"/>
                <w:szCs w:val="15"/>
              </w:rPr>
              <w:t>BrandMeister</w:t>
            </w:r>
            <w:proofErr w:type="spellEnd"/>
            <w:r>
              <w:rPr>
                <w:sz w:val="15"/>
                <w:szCs w:val="15"/>
              </w:rPr>
              <w:t xml:space="preserve">/hotspot internet failure, KDH repeater degradation, and </w:t>
            </w:r>
            <w:proofErr w:type="spellStart"/>
            <w:r>
              <w:rPr>
                <w:sz w:val="15"/>
                <w:szCs w:val="15"/>
              </w:rPr>
              <w:t>Skyco</w:t>
            </w:r>
            <w:proofErr w:type="spellEnd"/>
            <w:r>
              <w:rPr>
                <w:sz w:val="15"/>
                <w:szCs w:val="15"/>
              </w:rPr>
              <w:t xml:space="preserve"> Winlink RMS congestion handled without loss of net discipline.</w:t>
            </w:r>
          </w:p>
        </w:tc>
      </w:tr>
      <w:tr w:rsidR="00E40195" w14:paraId="21940235" w14:textId="77777777">
        <w:tc>
          <w:tcPr>
            <w:tcW w:w="650" w:type="dxa"/>
          </w:tcPr>
          <w:p w14:paraId="046BCF24" w14:textId="77777777" w:rsidR="00E40195" w:rsidRDefault="00000000">
            <w:pPr>
              <w:spacing w:after="20"/>
            </w:pPr>
            <w:r>
              <w:rPr>
                <w:sz w:val="15"/>
                <w:szCs w:val="15"/>
              </w:rPr>
              <w:t>5</w:t>
            </w:r>
          </w:p>
        </w:tc>
        <w:tc>
          <w:tcPr>
            <w:tcW w:w="4050" w:type="dxa"/>
          </w:tcPr>
          <w:p w14:paraId="36F64004" w14:textId="77777777" w:rsidR="00E40195" w:rsidRDefault="00000000">
            <w:pPr>
              <w:spacing w:after="20"/>
            </w:pPr>
            <w:r>
              <w:rPr>
                <w:sz w:val="15"/>
                <w:szCs w:val="15"/>
              </w:rPr>
              <w:t>Pass, acknowledge, and log formal message traffic.</w:t>
            </w:r>
          </w:p>
        </w:tc>
        <w:tc>
          <w:tcPr>
            <w:tcW w:w="4660" w:type="dxa"/>
          </w:tcPr>
          <w:p w14:paraId="2002AC2D" w14:textId="77777777" w:rsidR="00E40195" w:rsidRDefault="00000000">
            <w:pPr>
              <w:spacing w:after="20"/>
            </w:pPr>
            <w:r>
              <w:rPr>
                <w:sz w:val="15"/>
                <w:szCs w:val="15"/>
              </w:rPr>
              <w:t>At least three ICS 213 messages generated, routed, read back, acknowledged, and logged in ICS 309/214 records.</w:t>
            </w:r>
          </w:p>
        </w:tc>
      </w:tr>
      <w:tr w:rsidR="00E40195" w14:paraId="058E3155" w14:textId="77777777">
        <w:tc>
          <w:tcPr>
            <w:tcW w:w="650" w:type="dxa"/>
          </w:tcPr>
          <w:p w14:paraId="46256626" w14:textId="77777777" w:rsidR="00E40195" w:rsidRDefault="00000000">
            <w:pPr>
              <w:spacing w:after="20"/>
            </w:pPr>
            <w:r>
              <w:rPr>
                <w:sz w:val="15"/>
                <w:szCs w:val="15"/>
              </w:rPr>
              <w:t>6</w:t>
            </w:r>
          </w:p>
        </w:tc>
        <w:tc>
          <w:tcPr>
            <w:tcW w:w="4050" w:type="dxa"/>
          </w:tcPr>
          <w:p w14:paraId="23CC90CE" w14:textId="77777777" w:rsidR="00E40195" w:rsidRDefault="00000000">
            <w:pPr>
              <w:spacing w:after="20"/>
            </w:pPr>
            <w:r>
              <w:rPr>
                <w:sz w:val="15"/>
                <w:szCs w:val="15"/>
              </w:rPr>
              <w:t>Exercise disciplined simplex operations as part of PACE.</w:t>
            </w:r>
          </w:p>
        </w:tc>
        <w:tc>
          <w:tcPr>
            <w:tcW w:w="4660" w:type="dxa"/>
          </w:tcPr>
          <w:p w14:paraId="79DBEFDF" w14:textId="77777777" w:rsidR="00E40195" w:rsidRDefault="00000000">
            <w:pPr>
              <w:spacing w:after="20"/>
            </w:pPr>
            <w:r>
              <w:rPr>
                <w:sz w:val="15"/>
                <w:szCs w:val="15"/>
              </w:rPr>
              <w:t xml:space="preserve">Stations use short transmissions, clear pauses, assigned relays, tactical call signs, FCC identification, and BREAK </w:t>
            </w:r>
            <w:proofErr w:type="spellStart"/>
            <w:r>
              <w:rPr>
                <w:sz w:val="15"/>
                <w:szCs w:val="15"/>
              </w:rPr>
              <w:t>BREAK</w:t>
            </w:r>
            <w:proofErr w:type="spellEnd"/>
            <w:r>
              <w:rPr>
                <w:sz w:val="15"/>
                <w:szCs w:val="15"/>
              </w:rPr>
              <w:t xml:space="preserve"> for emergency traffic.</w:t>
            </w:r>
          </w:p>
        </w:tc>
      </w:tr>
      <w:tr w:rsidR="00E40195" w14:paraId="7E18D755" w14:textId="77777777">
        <w:tc>
          <w:tcPr>
            <w:tcW w:w="650" w:type="dxa"/>
          </w:tcPr>
          <w:p w14:paraId="3B072BF9" w14:textId="77777777" w:rsidR="00E40195" w:rsidRDefault="00000000">
            <w:pPr>
              <w:spacing w:after="20"/>
            </w:pPr>
            <w:r>
              <w:rPr>
                <w:sz w:val="15"/>
                <w:szCs w:val="15"/>
              </w:rPr>
              <w:t>7</w:t>
            </w:r>
          </w:p>
        </w:tc>
        <w:tc>
          <w:tcPr>
            <w:tcW w:w="4050" w:type="dxa"/>
          </w:tcPr>
          <w:p w14:paraId="1D2EBBBD" w14:textId="77777777" w:rsidR="00E40195" w:rsidRDefault="00000000">
            <w:pPr>
              <w:spacing w:after="20"/>
            </w:pPr>
            <w:r>
              <w:rPr>
                <w:sz w:val="15"/>
                <w:szCs w:val="15"/>
              </w:rPr>
              <w:t>Capture documentation sufficient for hot wash and AAR.</w:t>
            </w:r>
          </w:p>
        </w:tc>
        <w:tc>
          <w:tcPr>
            <w:tcW w:w="4660" w:type="dxa"/>
          </w:tcPr>
          <w:p w14:paraId="24E4F1B1" w14:textId="77777777" w:rsidR="00E40195" w:rsidRDefault="00000000">
            <w:pPr>
              <w:spacing w:after="20"/>
            </w:pPr>
            <w:r>
              <w:rPr>
                <w:sz w:val="15"/>
                <w:szCs w:val="15"/>
              </w:rPr>
              <w:t>ICS 201/202/205/213/214/309, callout results, controller inject log, and hot wash notes completed sufficiently to reconstruct exercise activity.</w:t>
            </w:r>
          </w:p>
        </w:tc>
      </w:tr>
    </w:tbl>
    <w:p w14:paraId="1A09D563" w14:textId="77777777" w:rsidR="00E40195" w:rsidRDefault="00E40195">
      <w:pPr>
        <w:spacing w:after="120"/>
      </w:pPr>
    </w:p>
    <w:p w14:paraId="064BF409" w14:textId="77777777" w:rsidR="00E40195" w:rsidRDefault="00000000">
      <w:pPr>
        <w:pStyle w:val="Heading1"/>
        <w:spacing w:before="140" w:after="80"/>
      </w:pPr>
      <w:r>
        <w:rPr>
          <w:szCs w:val="27"/>
        </w:rPr>
        <w:t>8. Operational Priorities</w:t>
      </w:r>
    </w:p>
    <w:p w14:paraId="2ADDB22C" w14:textId="77777777" w:rsidR="00E40195" w:rsidRDefault="00000000">
      <w:pPr>
        <w:numPr>
          <w:ilvl w:val="0"/>
          <w:numId w:val="1"/>
        </w:numPr>
        <w:spacing w:after="65"/>
      </w:pPr>
      <w:r>
        <w:rPr>
          <w:sz w:val="20"/>
          <w:szCs w:val="20"/>
        </w:rPr>
        <w:t xml:space="preserve">Life safety and real-world safety override exercise </w:t>
      </w:r>
      <w:proofErr w:type="gramStart"/>
      <w:r>
        <w:rPr>
          <w:sz w:val="20"/>
          <w:szCs w:val="20"/>
        </w:rPr>
        <w:t>play at all times</w:t>
      </w:r>
      <w:proofErr w:type="gramEnd"/>
      <w:r>
        <w:rPr>
          <w:sz w:val="20"/>
          <w:szCs w:val="20"/>
        </w:rPr>
        <w:t>.</w:t>
      </w:r>
    </w:p>
    <w:p w14:paraId="1608FE9B" w14:textId="77777777" w:rsidR="00E40195" w:rsidRDefault="00000000">
      <w:pPr>
        <w:numPr>
          <w:ilvl w:val="0"/>
          <w:numId w:val="1"/>
        </w:numPr>
        <w:spacing w:after="65"/>
      </w:pPr>
      <w:r>
        <w:rPr>
          <w:sz w:val="20"/>
          <w:szCs w:val="20"/>
        </w:rPr>
        <w:t>Maintain clear directed-net discipline and prevent unmanaged doubling or cross-net confusion.</w:t>
      </w:r>
    </w:p>
    <w:p w14:paraId="721C31C2" w14:textId="77777777" w:rsidR="00E40195" w:rsidRDefault="00000000">
      <w:pPr>
        <w:numPr>
          <w:ilvl w:val="0"/>
          <w:numId w:val="1"/>
        </w:numPr>
        <w:spacing w:after="65"/>
      </w:pPr>
      <w:r>
        <w:rPr>
          <w:sz w:val="20"/>
          <w:szCs w:val="20"/>
        </w:rPr>
        <w:t>Use plain language and avoid speculation, rumor traffic, or unauthorized public messaging.</w:t>
      </w:r>
    </w:p>
    <w:p w14:paraId="3EADDB2F" w14:textId="77777777" w:rsidR="00E40195" w:rsidRDefault="00000000">
      <w:pPr>
        <w:numPr>
          <w:ilvl w:val="0"/>
          <w:numId w:val="1"/>
        </w:numPr>
        <w:spacing w:after="65"/>
      </w:pPr>
      <w:r>
        <w:rPr>
          <w:sz w:val="20"/>
          <w:szCs w:val="20"/>
        </w:rPr>
        <w:t>Use formal message handling for life-safety, shelter, resource, and logistics traffic.</w:t>
      </w:r>
    </w:p>
    <w:p w14:paraId="2EBE6FB8" w14:textId="77777777" w:rsidR="00E40195" w:rsidRDefault="00000000">
      <w:pPr>
        <w:numPr>
          <w:ilvl w:val="0"/>
          <w:numId w:val="1"/>
        </w:numPr>
        <w:spacing w:after="65"/>
      </w:pPr>
      <w:r>
        <w:rPr>
          <w:sz w:val="20"/>
          <w:szCs w:val="20"/>
        </w:rPr>
        <w:t xml:space="preserve">Protect critical traffic from reliance on internet-dependent paths when </w:t>
      </w:r>
      <w:proofErr w:type="spellStart"/>
      <w:r>
        <w:rPr>
          <w:sz w:val="20"/>
          <w:szCs w:val="20"/>
        </w:rPr>
        <w:t>BrandMeister</w:t>
      </w:r>
      <w:proofErr w:type="spellEnd"/>
      <w:r>
        <w:rPr>
          <w:sz w:val="20"/>
          <w:szCs w:val="20"/>
        </w:rPr>
        <w:t>/hotspot or commercial internet degradation is injected.</w:t>
      </w:r>
    </w:p>
    <w:p w14:paraId="5AD0B0EC" w14:textId="77777777" w:rsidR="00E40195" w:rsidRPr="006D4F97" w:rsidRDefault="00000000">
      <w:pPr>
        <w:numPr>
          <w:ilvl w:val="0"/>
          <w:numId w:val="1"/>
        </w:numPr>
        <w:spacing w:after="65"/>
      </w:pPr>
      <w:r>
        <w:rPr>
          <w:sz w:val="20"/>
          <w:szCs w:val="20"/>
        </w:rPr>
        <w:t>Preserve complete enough records for accountability, evaluation, and corrective action.</w:t>
      </w:r>
    </w:p>
    <w:p w14:paraId="7FC6C131" w14:textId="77777777" w:rsidR="006D4F97" w:rsidRDefault="006D4F97">
      <w:pPr>
        <w:numPr>
          <w:ilvl w:val="0"/>
          <w:numId w:val="1"/>
        </w:numPr>
        <w:spacing w:after="65"/>
      </w:pPr>
    </w:p>
    <w:p w14:paraId="132027BA" w14:textId="77777777" w:rsidR="00E40195" w:rsidRDefault="00000000">
      <w:pPr>
        <w:pStyle w:val="Heading1"/>
        <w:spacing w:before="140" w:after="80"/>
      </w:pPr>
      <w:r>
        <w:rPr>
          <w:szCs w:val="27"/>
        </w:rPr>
        <w:lastRenderedPageBreak/>
        <w:t>9. General Safety Message</w:t>
      </w:r>
    </w:p>
    <w:p w14:paraId="53A0C3D1" w14:textId="77777777" w:rsidR="00E40195" w:rsidRDefault="00000000">
      <w:pPr>
        <w:spacing w:after="90"/>
      </w:pPr>
      <w:r>
        <w:rPr>
          <w:b/>
          <w:color w:val="9A2E22"/>
          <w:sz w:val="20"/>
          <w:szCs w:val="20"/>
        </w:rPr>
        <w:t>THIS IS AN EXERCISE. No real hazardous materials are involved. All incident locations, plume effects, system failures, and public safety actions are simulated unless specifically declared otherwise by Exercise Control.</w:t>
      </w:r>
    </w:p>
    <w:p w14:paraId="5984FA12" w14:textId="77777777" w:rsidR="00E40195" w:rsidRDefault="00000000">
      <w:pPr>
        <w:spacing w:after="90"/>
      </w:pPr>
      <w:r>
        <w:t>No participant shall self-deploy to an incident site, shelter, EOC, radio site, or field location unless specifically assigned by Exercise Control. Mobile operators shall obey all traffic laws and pull over before lengthy transmissions, logging, or message read-back.</w:t>
      </w:r>
    </w:p>
    <w:p w14:paraId="5D7A79E0" w14:textId="033E710B" w:rsidR="00E40195" w:rsidRDefault="00000000">
      <w:pPr>
        <w:spacing w:after="90"/>
      </w:pPr>
      <w:r>
        <w:rPr>
          <w:b/>
          <w:color w:val="9A2E22"/>
          <w:sz w:val="20"/>
          <w:szCs w:val="20"/>
        </w:rPr>
        <w:t xml:space="preserve">Real-world emergency phrase: REAL WORLD SAFETY. Emergency traffic proword: BREAK </w:t>
      </w:r>
      <w:proofErr w:type="spellStart"/>
      <w:r>
        <w:rPr>
          <w:b/>
          <w:color w:val="9A2E22"/>
          <w:sz w:val="20"/>
          <w:szCs w:val="20"/>
        </w:rPr>
        <w:t>BREAK</w:t>
      </w:r>
      <w:proofErr w:type="spellEnd"/>
      <w:r>
        <w:rPr>
          <w:b/>
          <w:color w:val="9A2E22"/>
          <w:sz w:val="20"/>
          <w:szCs w:val="20"/>
        </w:rPr>
        <w:t xml:space="preserve">. When BREAK </w:t>
      </w:r>
      <w:proofErr w:type="spellStart"/>
      <w:r>
        <w:rPr>
          <w:b/>
          <w:color w:val="9A2E22"/>
          <w:sz w:val="20"/>
          <w:szCs w:val="20"/>
        </w:rPr>
        <w:t>BREAK</w:t>
      </w:r>
      <w:proofErr w:type="spellEnd"/>
      <w:r>
        <w:rPr>
          <w:b/>
          <w:color w:val="9A2E22"/>
          <w:sz w:val="20"/>
          <w:szCs w:val="20"/>
        </w:rPr>
        <w:t xml:space="preserve"> is heard, all routine traffic stops </w:t>
      </w:r>
      <w:r w:rsidR="006D4F97">
        <w:rPr>
          <w:b/>
          <w:color w:val="9A2E22"/>
          <w:sz w:val="20"/>
          <w:szCs w:val="20"/>
        </w:rPr>
        <w:t>immediately,</w:t>
      </w:r>
      <w:r>
        <w:rPr>
          <w:b/>
          <w:color w:val="9A2E22"/>
          <w:sz w:val="20"/>
          <w:szCs w:val="20"/>
        </w:rPr>
        <w:t xml:space="preserve"> and Net Control handles the emergency traffic before resuming normal net operations.</w:t>
      </w:r>
    </w:p>
    <w:p w14:paraId="3EA27173" w14:textId="77777777" w:rsidR="00E40195" w:rsidRDefault="00000000">
      <w:pPr>
        <w:pStyle w:val="Heading1"/>
        <w:spacing w:before="140" w:after="80"/>
      </w:pPr>
      <w:r>
        <w:rPr>
          <w:szCs w:val="27"/>
        </w:rPr>
        <w:t>10. Weather / Operational Conditions</w:t>
      </w:r>
    </w:p>
    <w:tbl>
      <w:tblPr>
        <w:tblW w:w="9360" w:type="dxa"/>
        <w:tblInd w:w="90"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90" w:type="dxa"/>
          <w:left w:w="90" w:type="dxa"/>
          <w:bottom w:w="90" w:type="dxa"/>
          <w:right w:w="90" w:type="dxa"/>
        </w:tblCellMar>
        <w:tblLook w:val="0000" w:firstRow="0" w:lastRow="0" w:firstColumn="0" w:lastColumn="0" w:noHBand="0" w:noVBand="0"/>
      </w:tblPr>
      <w:tblGrid>
        <w:gridCol w:w="2400"/>
        <w:gridCol w:w="6960"/>
      </w:tblGrid>
      <w:tr w:rsidR="00E40195" w14:paraId="42692363" w14:textId="77777777">
        <w:trPr>
          <w:tblHeader/>
        </w:trPr>
        <w:tc>
          <w:tcPr>
            <w:tcW w:w="2400" w:type="dxa"/>
            <w:shd w:val="clear" w:color="auto" w:fill="EAF4F7"/>
          </w:tcPr>
          <w:p w14:paraId="78E711E7" w14:textId="77777777" w:rsidR="00E40195" w:rsidRDefault="00000000">
            <w:pPr>
              <w:spacing w:after="20"/>
            </w:pPr>
            <w:r>
              <w:rPr>
                <w:b/>
                <w:sz w:val="16"/>
                <w:szCs w:val="16"/>
              </w:rPr>
              <w:t>Condition</w:t>
            </w:r>
          </w:p>
        </w:tc>
        <w:tc>
          <w:tcPr>
            <w:tcW w:w="6960" w:type="dxa"/>
            <w:shd w:val="clear" w:color="auto" w:fill="EAF4F7"/>
          </w:tcPr>
          <w:p w14:paraId="53A6D5E9" w14:textId="77777777" w:rsidR="00E40195" w:rsidRDefault="00000000">
            <w:pPr>
              <w:spacing w:after="20"/>
            </w:pPr>
            <w:r>
              <w:rPr>
                <w:b/>
                <w:sz w:val="16"/>
                <w:szCs w:val="16"/>
              </w:rPr>
              <w:t>Exercise Assumption</w:t>
            </w:r>
          </w:p>
        </w:tc>
      </w:tr>
      <w:tr w:rsidR="00E40195" w14:paraId="205F1159" w14:textId="77777777">
        <w:tc>
          <w:tcPr>
            <w:tcW w:w="2400" w:type="dxa"/>
          </w:tcPr>
          <w:p w14:paraId="567F5B57" w14:textId="77777777" w:rsidR="00E40195" w:rsidRDefault="00000000">
            <w:pPr>
              <w:spacing w:after="20"/>
            </w:pPr>
            <w:r>
              <w:rPr>
                <w:sz w:val="16"/>
                <w:szCs w:val="16"/>
              </w:rPr>
              <w:t>Weather</w:t>
            </w:r>
          </w:p>
        </w:tc>
        <w:tc>
          <w:tcPr>
            <w:tcW w:w="6960" w:type="dxa"/>
          </w:tcPr>
          <w:p w14:paraId="6EDFF24B" w14:textId="77777777" w:rsidR="00E40195" w:rsidRDefault="00000000">
            <w:pPr>
              <w:spacing w:after="20"/>
            </w:pPr>
            <w:r>
              <w:rPr>
                <w:sz w:val="16"/>
                <w:szCs w:val="16"/>
              </w:rPr>
              <w:t>Simulated coastal operational day; weather impacts may be added by Exercise Control if desired.</w:t>
            </w:r>
          </w:p>
        </w:tc>
      </w:tr>
      <w:tr w:rsidR="00E40195" w14:paraId="69B36D07" w14:textId="77777777">
        <w:tc>
          <w:tcPr>
            <w:tcW w:w="2400" w:type="dxa"/>
          </w:tcPr>
          <w:p w14:paraId="7A293E99" w14:textId="77777777" w:rsidR="00E40195" w:rsidRDefault="00000000">
            <w:pPr>
              <w:spacing w:after="20"/>
            </w:pPr>
            <w:r>
              <w:rPr>
                <w:sz w:val="16"/>
                <w:szCs w:val="16"/>
              </w:rPr>
              <w:t>Hazard</w:t>
            </w:r>
          </w:p>
        </w:tc>
        <w:tc>
          <w:tcPr>
            <w:tcW w:w="6960" w:type="dxa"/>
          </w:tcPr>
          <w:p w14:paraId="1B53676C" w14:textId="77777777" w:rsidR="00E40195" w:rsidRDefault="00000000">
            <w:pPr>
              <w:spacing w:after="20"/>
            </w:pPr>
            <w:r>
              <w:rPr>
                <w:sz w:val="16"/>
                <w:szCs w:val="16"/>
              </w:rPr>
              <w:t>Simulated toxic industrial chemical gas cloud from tanker crash on NC-158 near Ocean View.</w:t>
            </w:r>
          </w:p>
        </w:tc>
      </w:tr>
      <w:tr w:rsidR="00E40195" w14:paraId="7300E4E9" w14:textId="77777777">
        <w:tc>
          <w:tcPr>
            <w:tcW w:w="2400" w:type="dxa"/>
          </w:tcPr>
          <w:p w14:paraId="236A9ABC" w14:textId="77777777" w:rsidR="00E40195" w:rsidRDefault="00000000">
            <w:pPr>
              <w:spacing w:after="20"/>
            </w:pPr>
            <w:r>
              <w:rPr>
                <w:sz w:val="16"/>
                <w:szCs w:val="16"/>
              </w:rPr>
              <w:t>Communications Environment</w:t>
            </w:r>
          </w:p>
        </w:tc>
        <w:tc>
          <w:tcPr>
            <w:tcW w:w="6960" w:type="dxa"/>
          </w:tcPr>
          <w:p w14:paraId="4BBED512" w14:textId="77777777" w:rsidR="00E40195" w:rsidRDefault="00000000">
            <w:pPr>
              <w:spacing w:after="20"/>
            </w:pPr>
            <w:r>
              <w:rPr>
                <w:sz w:val="16"/>
                <w:szCs w:val="16"/>
              </w:rPr>
              <w:t xml:space="preserve">Congested 911, degraded cellular/SMS/data, intermittent internet, repeater impairment, </w:t>
            </w:r>
            <w:proofErr w:type="spellStart"/>
            <w:r>
              <w:rPr>
                <w:sz w:val="16"/>
                <w:szCs w:val="16"/>
              </w:rPr>
              <w:t>BrandMeister</w:t>
            </w:r>
            <w:proofErr w:type="spellEnd"/>
            <w:r>
              <w:rPr>
                <w:sz w:val="16"/>
                <w:szCs w:val="16"/>
              </w:rPr>
              <w:t>/hotspot dependency failure, and Winlink congestion are exercised by timed injects.</w:t>
            </w:r>
          </w:p>
        </w:tc>
      </w:tr>
      <w:tr w:rsidR="00E40195" w14:paraId="0CEC1F75" w14:textId="77777777">
        <w:tc>
          <w:tcPr>
            <w:tcW w:w="2400" w:type="dxa"/>
          </w:tcPr>
          <w:p w14:paraId="045AA287" w14:textId="77777777" w:rsidR="00E40195" w:rsidRDefault="00000000">
            <w:pPr>
              <w:spacing w:after="20"/>
            </w:pPr>
            <w:r>
              <w:rPr>
                <w:sz w:val="16"/>
                <w:szCs w:val="16"/>
              </w:rPr>
              <w:t>Field Operations</w:t>
            </w:r>
          </w:p>
        </w:tc>
        <w:tc>
          <w:tcPr>
            <w:tcW w:w="6960" w:type="dxa"/>
          </w:tcPr>
          <w:p w14:paraId="2419CD77" w14:textId="77777777" w:rsidR="00E40195" w:rsidRDefault="00000000">
            <w:pPr>
              <w:spacing w:after="20"/>
            </w:pPr>
            <w:r>
              <w:rPr>
                <w:sz w:val="16"/>
                <w:szCs w:val="16"/>
              </w:rPr>
              <w:t>Primarily home, radio room, EOC/shelter, or assigned safe operating positions. No self-deployment into hazardous area.</w:t>
            </w:r>
          </w:p>
        </w:tc>
      </w:tr>
    </w:tbl>
    <w:p w14:paraId="597F7B15" w14:textId="77777777" w:rsidR="00E40195" w:rsidRDefault="00E40195">
      <w:pPr>
        <w:spacing w:after="120"/>
      </w:pPr>
    </w:p>
    <w:p w14:paraId="0AA1BB95" w14:textId="77777777" w:rsidR="00E40195" w:rsidRDefault="00000000">
      <w:pPr>
        <w:pStyle w:val="Heading1"/>
        <w:spacing w:before="140" w:after="80"/>
      </w:pPr>
      <w:r>
        <w:rPr>
          <w:szCs w:val="27"/>
        </w:rPr>
        <w:t>11. Attachments / Supporting ICS Documents</w:t>
      </w:r>
    </w:p>
    <w:tbl>
      <w:tblPr>
        <w:tblW w:w="9360" w:type="dxa"/>
        <w:tblInd w:w="90"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90" w:type="dxa"/>
          <w:left w:w="90" w:type="dxa"/>
          <w:bottom w:w="90" w:type="dxa"/>
          <w:right w:w="90" w:type="dxa"/>
        </w:tblCellMar>
        <w:tblLook w:val="0000" w:firstRow="0" w:lastRow="0" w:firstColumn="0" w:lastColumn="0" w:noHBand="0" w:noVBand="0"/>
      </w:tblPr>
      <w:tblGrid>
        <w:gridCol w:w="2600"/>
        <w:gridCol w:w="6760"/>
      </w:tblGrid>
      <w:tr w:rsidR="00E40195" w14:paraId="09B6376F" w14:textId="77777777">
        <w:trPr>
          <w:tblHeader/>
        </w:trPr>
        <w:tc>
          <w:tcPr>
            <w:tcW w:w="2600" w:type="dxa"/>
            <w:shd w:val="clear" w:color="auto" w:fill="EAF4F7"/>
          </w:tcPr>
          <w:p w14:paraId="79A60CA1" w14:textId="77777777" w:rsidR="00E40195" w:rsidRDefault="00000000">
            <w:pPr>
              <w:spacing w:after="20"/>
            </w:pPr>
            <w:r>
              <w:rPr>
                <w:b/>
                <w:sz w:val="16"/>
                <w:szCs w:val="16"/>
              </w:rPr>
              <w:t>Attachment</w:t>
            </w:r>
          </w:p>
        </w:tc>
        <w:tc>
          <w:tcPr>
            <w:tcW w:w="6760" w:type="dxa"/>
            <w:shd w:val="clear" w:color="auto" w:fill="EAF4F7"/>
          </w:tcPr>
          <w:p w14:paraId="723F83F5" w14:textId="77777777" w:rsidR="00E40195" w:rsidRDefault="00000000">
            <w:pPr>
              <w:spacing w:after="20"/>
            </w:pPr>
            <w:r>
              <w:rPr>
                <w:b/>
                <w:sz w:val="16"/>
                <w:szCs w:val="16"/>
              </w:rPr>
              <w:t>Status / Use</w:t>
            </w:r>
          </w:p>
        </w:tc>
      </w:tr>
      <w:tr w:rsidR="00E40195" w14:paraId="692C56E2" w14:textId="77777777">
        <w:tc>
          <w:tcPr>
            <w:tcW w:w="2600" w:type="dxa"/>
          </w:tcPr>
          <w:p w14:paraId="2E794051" w14:textId="77777777" w:rsidR="00E40195" w:rsidRDefault="00000000">
            <w:pPr>
              <w:spacing w:after="20"/>
            </w:pPr>
            <w:r>
              <w:rPr>
                <w:sz w:val="16"/>
                <w:szCs w:val="16"/>
              </w:rPr>
              <w:t>ICS 201 Incident Briefing</w:t>
            </w:r>
          </w:p>
        </w:tc>
        <w:tc>
          <w:tcPr>
            <w:tcW w:w="6760" w:type="dxa"/>
          </w:tcPr>
          <w:p w14:paraId="7CA53698" w14:textId="77777777" w:rsidR="00E40195" w:rsidRDefault="00000000">
            <w:pPr>
              <w:spacing w:after="20"/>
            </w:pPr>
            <w:r>
              <w:rPr>
                <w:sz w:val="16"/>
                <w:szCs w:val="16"/>
              </w:rPr>
              <w:t>Populated separately for Operation Ocean Mist.</w:t>
            </w:r>
          </w:p>
        </w:tc>
      </w:tr>
      <w:tr w:rsidR="00E40195" w14:paraId="29BD3944" w14:textId="77777777">
        <w:tc>
          <w:tcPr>
            <w:tcW w:w="2600" w:type="dxa"/>
          </w:tcPr>
          <w:p w14:paraId="650E0B12" w14:textId="77777777" w:rsidR="00E40195" w:rsidRDefault="00000000">
            <w:pPr>
              <w:spacing w:after="20"/>
            </w:pPr>
            <w:r>
              <w:rPr>
                <w:sz w:val="16"/>
                <w:szCs w:val="16"/>
              </w:rPr>
              <w:t>ICS 205 Communications Plan</w:t>
            </w:r>
          </w:p>
        </w:tc>
        <w:tc>
          <w:tcPr>
            <w:tcW w:w="6760" w:type="dxa"/>
          </w:tcPr>
          <w:p w14:paraId="66CB8BC0" w14:textId="77777777" w:rsidR="00E40195" w:rsidRDefault="00000000">
            <w:pPr>
              <w:spacing w:after="20"/>
            </w:pPr>
            <w:r>
              <w:rPr>
                <w:sz w:val="16"/>
                <w:szCs w:val="16"/>
              </w:rPr>
              <w:t xml:space="preserve">Use Ocean Mist communications plan: KDH 145.110, Mamie/DMR/NCPRN, TAC-1/TAC-2/TAC-3 simplex, </w:t>
            </w:r>
            <w:proofErr w:type="spellStart"/>
            <w:r>
              <w:rPr>
                <w:sz w:val="16"/>
                <w:szCs w:val="16"/>
              </w:rPr>
              <w:t>Skyco</w:t>
            </w:r>
            <w:proofErr w:type="spellEnd"/>
            <w:r>
              <w:rPr>
                <w:sz w:val="16"/>
                <w:szCs w:val="16"/>
              </w:rPr>
              <w:t xml:space="preserve"> RMS, HF backup.</w:t>
            </w:r>
          </w:p>
        </w:tc>
      </w:tr>
      <w:tr w:rsidR="00E40195" w14:paraId="475954BC" w14:textId="77777777">
        <w:tc>
          <w:tcPr>
            <w:tcW w:w="2600" w:type="dxa"/>
          </w:tcPr>
          <w:p w14:paraId="5B4AAA7C" w14:textId="77777777" w:rsidR="00E40195" w:rsidRDefault="00000000">
            <w:pPr>
              <w:spacing w:after="20"/>
            </w:pPr>
            <w:r>
              <w:rPr>
                <w:sz w:val="16"/>
                <w:szCs w:val="16"/>
              </w:rPr>
              <w:t>ICS 213 General Message</w:t>
            </w:r>
          </w:p>
        </w:tc>
        <w:tc>
          <w:tcPr>
            <w:tcW w:w="6760" w:type="dxa"/>
          </w:tcPr>
          <w:p w14:paraId="5A7B4D82" w14:textId="77777777" w:rsidR="00E40195" w:rsidRDefault="00000000">
            <w:pPr>
              <w:spacing w:after="20"/>
            </w:pPr>
            <w:r>
              <w:rPr>
                <w:sz w:val="16"/>
                <w:szCs w:val="16"/>
              </w:rPr>
              <w:t>Used for priority, life-safety, shelter, and resource request traffic.</w:t>
            </w:r>
          </w:p>
        </w:tc>
      </w:tr>
      <w:tr w:rsidR="00E40195" w14:paraId="4973EBFA" w14:textId="77777777">
        <w:tc>
          <w:tcPr>
            <w:tcW w:w="2600" w:type="dxa"/>
          </w:tcPr>
          <w:p w14:paraId="49148856" w14:textId="77777777" w:rsidR="00E40195" w:rsidRDefault="00000000">
            <w:pPr>
              <w:spacing w:after="20"/>
            </w:pPr>
            <w:r>
              <w:rPr>
                <w:sz w:val="16"/>
                <w:szCs w:val="16"/>
              </w:rPr>
              <w:t>ICS 214 Activity Log</w:t>
            </w:r>
          </w:p>
        </w:tc>
        <w:tc>
          <w:tcPr>
            <w:tcW w:w="6760" w:type="dxa"/>
          </w:tcPr>
          <w:p w14:paraId="33BF357E" w14:textId="77777777" w:rsidR="00E40195" w:rsidRDefault="00000000">
            <w:pPr>
              <w:spacing w:after="20"/>
            </w:pPr>
            <w:r>
              <w:rPr>
                <w:sz w:val="16"/>
                <w:szCs w:val="16"/>
              </w:rPr>
              <w:t>Maintained by EOC/radio desk, NCS positions, and key exercise staff.</w:t>
            </w:r>
          </w:p>
        </w:tc>
      </w:tr>
      <w:tr w:rsidR="00E40195" w14:paraId="180545BB" w14:textId="77777777">
        <w:tc>
          <w:tcPr>
            <w:tcW w:w="2600" w:type="dxa"/>
          </w:tcPr>
          <w:p w14:paraId="7F30C16A" w14:textId="77777777" w:rsidR="00E40195" w:rsidRDefault="00000000">
            <w:pPr>
              <w:spacing w:after="20"/>
            </w:pPr>
            <w:r>
              <w:rPr>
                <w:sz w:val="16"/>
                <w:szCs w:val="16"/>
              </w:rPr>
              <w:t>ICS 309 Communications Log</w:t>
            </w:r>
          </w:p>
        </w:tc>
        <w:tc>
          <w:tcPr>
            <w:tcW w:w="6760" w:type="dxa"/>
          </w:tcPr>
          <w:p w14:paraId="0C78F96B" w14:textId="77777777" w:rsidR="00E40195" w:rsidRDefault="00000000">
            <w:pPr>
              <w:spacing w:after="20"/>
            </w:pPr>
            <w:r>
              <w:rPr>
                <w:sz w:val="16"/>
                <w:szCs w:val="16"/>
              </w:rPr>
              <w:t>Maintained by each directed net or assigned logger.</w:t>
            </w:r>
          </w:p>
        </w:tc>
      </w:tr>
      <w:tr w:rsidR="00E40195" w14:paraId="3644F17E" w14:textId="77777777">
        <w:tc>
          <w:tcPr>
            <w:tcW w:w="2600" w:type="dxa"/>
          </w:tcPr>
          <w:p w14:paraId="1D50D1D4" w14:textId="77777777" w:rsidR="00E40195" w:rsidRDefault="00000000">
            <w:pPr>
              <w:spacing w:after="20"/>
            </w:pPr>
            <w:r>
              <w:rPr>
                <w:sz w:val="16"/>
                <w:szCs w:val="16"/>
              </w:rPr>
              <w:t>Callout Tree</w:t>
            </w:r>
          </w:p>
        </w:tc>
        <w:tc>
          <w:tcPr>
            <w:tcW w:w="6760" w:type="dxa"/>
          </w:tcPr>
          <w:p w14:paraId="408E8303" w14:textId="77777777" w:rsidR="00E40195" w:rsidRDefault="00000000">
            <w:pPr>
              <w:spacing w:after="20"/>
            </w:pPr>
            <w:r>
              <w:rPr>
                <w:sz w:val="16"/>
                <w:szCs w:val="16"/>
              </w:rPr>
              <w:t>Used to capture called/answered/available/willing-to-support status.</w:t>
            </w:r>
          </w:p>
        </w:tc>
      </w:tr>
      <w:tr w:rsidR="00E40195" w14:paraId="11B653F4" w14:textId="77777777">
        <w:tc>
          <w:tcPr>
            <w:tcW w:w="2600" w:type="dxa"/>
          </w:tcPr>
          <w:p w14:paraId="0DF13BBA" w14:textId="77777777" w:rsidR="00E40195" w:rsidRDefault="00000000">
            <w:pPr>
              <w:spacing w:after="20"/>
            </w:pPr>
            <w:r>
              <w:rPr>
                <w:sz w:val="16"/>
                <w:szCs w:val="16"/>
              </w:rPr>
              <w:t>Directed Net Scripts</w:t>
            </w:r>
          </w:p>
        </w:tc>
        <w:tc>
          <w:tcPr>
            <w:tcW w:w="6760" w:type="dxa"/>
          </w:tcPr>
          <w:p w14:paraId="7A8D16F3" w14:textId="77777777" w:rsidR="00E40195" w:rsidRDefault="00000000">
            <w:pPr>
              <w:spacing w:after="20"/>
            </w:pPr>
            <w:r>
              <w:rPr>
                <w:sz w:val="16"/>
                <w:szCs w:val="16"/>
              </w:rPr>
              <w:t>FM analog, DMR, and simplex PACE scripts available to NCS.</w:t>
            </w:r>
          </w:p>
        </w:tc>
      </w:tr>
    </w:tbl>
    <w:p w14:paraId="1ABF6BDE" w14:textId="77777777" w:rsidR="00E40195" w:rsidRDefault="00E40195">
      <w:pPr>
        <w:spacing w:after="120"/>
      </w:pPr>
    </w:p>
    <w:p w14:paraId="3C99EE47" w14:textId="77777777" w:rsidR="00E40195" w:rsidRDefault="00000000">
      <w:pPr>
        <w:pStyle w:val="Heading1"/>
        <w:spacing w:before="140" w:after="80"/>
      </w:pPr>
      <w:r>
        <w:rPr>
          <w:szCs w:val="27"/>
        </w:rPr>
        <w:t>12. Approval</w:t>
      </w:r>
    </w:p>
    <w:tbl>
      <w:tblPr>
        <w:tblW w:w="9360" w:type="dxa"/>
        <w:tblInd w:w="90"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90" w:type="dxa"/>
          <w:left w:w="90" w:type="dxa"/>
          <w:bottom w:w="90" w:type="dxa"/>
          <w:right w:w="90" w:type="dxa"/>
        </w:tblCellMar>
        <w:tblLook w:val="0000" w:firstRow="0" w:lastRow="0" w:firstColumn="0" w:lastColumn="0" w:noHBand="0" w:noVBand="0"/>
      </w:tblPr>
      <w:tblGrid>
        <w:gridCol w:w="3600"/>
        <w:gridCol w:w="3600"/>
        <w:gridCol w:w="2160"/>
      </w:tblGrid>
      <w:tr w:rsidR="00E40195" w14:paraId="739EC4D7" w14:textId="77777777">
        <w:trPr>
          <w:tblHeader/>
        </w:trPr>
        <w:tc>
          <w:tcPr>
            <w:tcW w:w="3600" w:type="dxa"/>
            <w:shd w:val="clear" w:color="auto" w:fill="EAF4F7"/>
          </w:tcPr>
          <w:p w14:paraId="7856F055" w14:textId="77777777" w:rsidR="00E40195" w:rsidRDefault="00000000">
            <w:pPr>
              <w:spacing w:after="20"/>
            </w:pPr>
            <w:r>
              <w:rPr>
                <w:b/>
                <w:sz w:val="16"/>
                <w:szCs w:val="16"/>
              </w:rPr>
              <w:t>Name / Position</w:t>
            </w:r>
          </w:p>
        </w:tc>
        <w:tc>
          <w:tcPr>
            <w:tcW w:w="3600" w:type="dxa"/>
            <w:shd w:val="clear" w:color="auto" w:fill="EAF4F7"/>
          </w:tcPr>
          <w:p w14:paraId="3A4EE537" w14:textId="77777777" w:rsidR="00E40195" w:rsidRDefault="00000000">
            <w:pPr>
              <w:spacing w:after="20"/>
            </w:pPr>
            <w:r>
              <w:rPr>
                <w:b/>
                <w:sz w:val="16"/>
                <w:szCs w:val="16"/>
              </w:rPr>
              <w:t>Signature / Approval</w:t>
            </w:r>
          </w:p>
        </w:tc>
        <w:tc>
          <w:tcPr>
            <w:tcW w:w="2160" w:type="dxa"/>
            <w:shd w:val="clear" w:color="auto" w:fill="EAF4F7"/>
          </w:tcPr>
          <w:p w14:paraId="7FBC3DE0" w14:textId="77777777" w:rsidR="00E40195" w:rsidRDefault="00000000">
            <w:pPr>
              <w:spacing w:after="20"/>
            </w:pPr>
            <w:r>
              <w:rPr>
                <w:b/>
                <w:sz w:val="16"/>
                <w:szCs w:val="16"/>
              </w:rPr>
              <w:t>Date / Time</w:t>
            </w:r>
          </w:p>
        </w:tc>
      </w:tr>
      <w:tr w:rsidR="00E40195" w14:paraId="58D5D8F8" w14:textId="77777777">
        <w:tc>
          <w:tcPr>
            <w:tcW w:w="3600" w:type="dxa"/>
          </w:tcPr>
          <w:p w14:paraId="2CF25FB9" w14:textId="77777777" w:rsidR="00E40195" w:rsidRDefault="00000000">
            <w:pPr>
              <w:spacing w:after="20"/>
            </w:pPr>
            <w:r>
              <w:rPr>
                <w:sz w:val="16"/>
                <w:szCs w:val="16"/>
              </w:rPr>
              <w:t>Malcolm Green, KY4RY - Exercise Director / AUXCOMM Lead</w:t>
            </w:r>
          </w:p>
        </w:tc>
        <w:tc>
          <w:tcPr>
            <w:tcW w:w="3600" w:type="dxa"/>
          </w:tcPr>
          <w:p w14:paraId="694EFA2C" w14:textId="77777777" w:rsidR="00E40195" w:rsidRDefault="00E40195">
            <w:pPr>
              <w:spacing w:after="20"/>
            </w:pPr>
          </w:p>
        </w:tc>
        <w:tc>
          <w:tcPr>
            <w:tcW w:w="2160" w:type="dxa"/>
          </w:tcPr>
          <w:p w14:paraId="15E04C25" w14:textId="77777777" w:rsidR="00E40195" w:rsidRDefault="00E40195">
            <w:pPr>
              <w:spacing w:after="20"/>
            </w:pPr>
          </w:p>
        </w:tc>
      </w:tr>
      <w:tr w:rsidR="00E40195" w14:paraId="608AB5F5" w14:textId="77777777">
        <w:tc>
          <w:tcPr>
            <w:tcW w:w="3600" w:type="dxa"/>
          </w:tcPr>
          <w:p w14:paraId="1EF17E68" w14:textId="77777777" w:rsidR="00E40195" w:rsidRDefault="00000000">
            <w:pPr>
              <w:spacing w:after="20"/>
            </w:pPr>
            <w:r>
              <w:rPr>
                <w:sz w:val="16"/>
                <w:szCs w:val="16"/>
              </w:rPr>
              <w:t>Dare County Emergency Management / EOC Representative (if participating)</w:t>
            </w:r>
          </w:p>
        </w:tc>
        <w:tc>
          <w:tcPr>
            <w:tcW w:w="3600" w:type="dxa"/>
          </w:tcPr>
          <w:p w14:paraId="318B2D3B" w14:textId="77777777" w:rsidR="00E40195" w:rsidRDefault="00E40195">
            <w:pPr>
              <w:spacing w:after="20"/>
            </w:pPr>
          </w:p>
        </w:tc>
        <w:tc>
          <w:tcPr>
            <w:tcW w:w="2160" w:type="dxa"/>
          </w:tcPr>
          <w:p w14:paraId="4352F4EB" w14:textId="77777777" w:rsidR="00E40195" w:rsidRDefault="00E40195">
            <w:pPr>
              <w:spacing w:after="20"/>
            </w:pPr>
          </w:p>
        </w:tc>
      </w:tr>
      <w:tr w:rsidR="00E40195" w14:paraId="54836379" w14:textId="77777777">
        <w:tc>
          <w:tcPr>
            <w:tcW w:w="3600" w:type="dxa"/>
          </w:tcPr>
          <w:p w14:paraId="447368FF" w14:textId="77777777" w:rsidR="00E40195" w:rsidRDefault="00000000">
            <w:pPr>
              <w:spacing w:after="20"/>
            </w:pPr>
            <w:r>
              <w:rPr>
                <w:sz w:val="16"/>
                <w:szCs w:val="16"/>
              </w:rPr>
              <w:t>OBRA Net Control Lead</w:t>
            </w:r>
          </w:p>
        </w:tc>
        <w:tc>
          <w:tcPr>
            <w:tcW w:w="3600" w:type="dxa"/>
          </w:tcPr>
          <w:p w14:paraId="1A8FD52E" w14:textId="77777777" w:rsidR="00E40195" w:rsidRDefault="00E40195">
            <w:pPr>
              <w:spacing w:after="20"/>
            </w:pPr>
          </w:p>
        </w:tc>
        <w:tc>
          <w:tcPr>
            <w:tcW w:w="2160" w:type="dxa"/>
          </w:tcPr>
          <w:p w14:paraId="1AF217AF" w14:textId="77777777" w:rsidR="00E40195" w:rsidRDefault="00E40195">
            <w:pPr>
              <w:spacing w:after="20"/>
            </w:pPr>
          </w:p>
        </w:tc>
      </w:tr>
    </w:tbl>
    <w:p w14:paraId="4F8BFD10" w14:textId="77777777" w:rsidR="00DE23C2" w:rsidRDefault="00DE23C2"/>
    <w:sectPr w:rsidR="00DE23C2">
      <w:pgSz w:w="12240" w:h="15840"/>
      <w:pgMar w:top="720" w:right="720" w:bottom="720" w:left="720" w:header="450" w:footer="4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3F17"/>
    <w:multiLevelType w:val="multilevel"/>
    <w:tmpl w:val="2FBC9A3E"/>
    <w:lvl w:ilvl="0">
      <w:start w:val="1"/>
      <w:numFmt w:val="bullet"/>
      <w:lvlText w:val="-"/>
      <w:lvlJc w:val="left"/>
      <w:pPr>
        <w:ind w:left="42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29673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40195"/>
    <w:rsid w:val="00043E52"/>
    <w:rsid w:val="006D4F97"/>
    <w:rsid w:val="00DE23C2"/>
    <w:rsid w:val="00E40195"/>
    <w:rsid w:val="00F3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D8DCCC"/>
  <w15:docId w15:val="{3D2FBE90-C847-C440-B806-936C8B1F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1"/>
        <w:szCs w:val="21"/>
        <w:lang w:val="en-US" w:eastAsia="en-US" w:bidi="ar-SA"/>
      </w:rPr>
    </w:rPrDefault>
    <w:pPrDefault>
      <w:pPr>
        <w:spacing w:after="100" w:line="27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color w:val="082033"/>
      <w:sz w:val="27"/>
    </w:rPr>
  </w:style>
  <w:style w:type="paragraph" w:styleId="Heading2">
    <w:name w:val="heading 2"/>
    <w:basedOn w:val="Normal"/>
    <w:next w:val="Normal"/>
    <w:uiPriority w:val="9"/>
    <w:semiHidden/>
    <w:unhideWhenUsed/>
    <w:qFormat/>
    <w:pPr>
      <w:keepNext/>
      <w:outlineLvl w:val="1"/>
    </w:pPr>
    <w:rPr>
      <w:b/>
      <w:color w:val="0A4B6A"/>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817</Words>
  <Characters>4013</Characters>
  <Application>Microsoft Office Word</Application>
  <DocSecurity>0</DocSecurity>
  <Lines>668</Lines>
  <Paragraphs>439</Paragraphs>
  <ScaleCrop>false</ScaleCrop>
  <HeadingPairs>
    <vt:vector size="2" baseType="variant">
      <vt:variant>
        <vt:lpstr>Title</vt:lpstr>
      </vt:variant>
      <vt:variant>
        <vt:i4>1</vt:i4>
      </vt:variant>
    </vt:vector>
  </HeadingPairs>
  <TitlesOfParts>
    <vt:vector size="1" baseType="lpstr">
      <vt:lpstr/>
    </vt:vector>
  </TitlesOfParts>
  <Company>Agile OBX</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Malcolm Green</cp:lastModifiedBy>
  <cp:revision>2</cp:revision>
  <dcterms:created xsi:type="dcterms:W3CDTF">2026-06-04T11:45:00Z</dcterms:created>
  <dcterms:modified xsi:type="dcterms:W3CDTF">2026-06-04T13:33:00Z</dcterms:modified>
</cp:coreProperties>
</file>